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C9C37B" w14:textId="77777777" w:rsidR="00754CE8" w:rsidRPr="005B3D82" w:rsidRDefault="00394915">
      <w:pPr>
        <w:spacing w:after="113"/>
        <w:jc w:val="center"/>
        <w:rPr>
          <w:rFonts w:ascii="Arial" w:eastAsia="MiloOffc" w:hAnsi="Arial" w:cs="Arial"/>
          <w:b/>
          <w:bCs/>
          <w:sz w:val="22"/>
          <w:szCs w:val="22"/>
          <w:lang w:val="en-GB"/>
        </w:rPr>
      </w:pPr>
      <w:r w:rsidRPr="005B3D82">
        <w:rPr>
          <w:rFonts w:ascii="Arial" w:eastAsia="MiloOffc" w:hAnsi="Arial" w:cs="Arial"/>
          <w:b/>
          <w:bCs/>
          <w:sz w:val="22"/>
          <w:szCs w:val="22"/>
          <w:lang w:val="en-GB"/>
        </w:rPr>
        <w:drawing>
          <wp:anchor distT="0" distB="0" distL="0" distR="0" simplePos="0" relativeHeight="2" behindDoc="0" locked="0" layoutInCell="1" allowOverlap="1" wp14:anchorId="468518C4" wp14:editId="7B13E952">
            <wp:simplePos x="0" y="0"/>
            <wp:positionH relativeFrom="column">
              <wp:posOffset>4121785</wp:posOffset>
            </wp:positionH>
            <wp:positionV relativeFrom="paragraph">
              <wp:posOffset>-118110</wp:posOffset>
            </wp:positionV>
            <wp:extent cx="2155190" cy="89916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6" t="-229" r="-96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5D4D9A" w14:textId="77777777" w:rsidR="00754CE8" w:rsidRDefault="00394915">
      <w:pPr>
        <w:spacing w:after="113"/>
        <w:jc w:val="center"/>
        <w:rPr>
          <w:rFonts w:ascii="Arial" w:eastAsia="MiloOffc" w:hAnsi="Arial" w:cs="Arial"/>
          <w:highlight w:val="yellow"/>
          <w:lang w:val="en-GB"/>
        </w:rPr>
      </w:pP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Guidelines for submitting </w:t>
      </w:r>
      <w:r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 to Adveniat</w:t>
      </w:r>
      <w:r>
        <w:rPr>
          <w:rFonts w:ascii="Arial" w:eastAsia="MiloOffc" w:hAnsi="Arial" w:cs="Arial"/>
          <w:highlight w:val="yellow"/>
          <w:lang w:val="en-GB"/>
        </w:rPr>
        <w:t xml:space="preserve"> </w:t>
      </w:r>
    </w:p>
    <w:p w14:paraId="0D76F9F8" w14:textId="77777777" w:rsidR="00754CE8" w:rsidRDefault="00394915">
      <w:pPr>
        <w:spacing w:after="113"/>
        <w:jc w:val="center"/>
        <w:rPr>
          <w:rFonts w:ascii="Arial" w:eastAsia="MiloOffc" w:hAnsi="Arial" w:cs="Arial"/>
          <w:highlight w:val="yellow"/>
          <w:lang w:val="en-GB"/>
        </w:rPr>
      </w:pPr>
      <w:r>
        <w:rPr>
          <w:rFonts w:ascii="Arial" w:eastAsia="MiloOffc" w:hAnsi="Arial" w:cs="Arial"/>
          <w:lang w:val="en-GB"/>
        </w:rPr>
        <w:t>–</w:t>
      </w:r>
      <w:r>
        <w:rPr>
          <w:rFonts w:ascii="Arial" w:eastAsia="Arial" w:hAnsi="Arial" w:cs="Arial"/>
          <w:lang w:val="en-GB"/>
        </w:rPr>
        <w:t xml:space="preserve"> ANNEX </w:t>
      </w:r>
      <w:r>
        <w:rPr>
          <w:rFonts w:ascii="Arial" w:eastAsia="MiloOffc" w:hAnsi="Arial" w:cs="Arial"/>
          <w:lang w:val="en-GB"/>
        </w:rPr>
        <w:t>CONSTRUCTION</w:t>
      </w:r>
      <w:r>
        <w:rPr>
          <w:rFonts w:ascii="Arial" w:eastAsia="MiloOffc" w:hAnsi="Arial" w:cs="Arial"/>
          <w:sz w:val="22"/>
          <w:szCs w:val="22"/>
          <w:lang w:val="en-GB"/>
        </w:rPr>
        <w:t xml:space="preserve"> </w:t>
      </w:r>
      <w:r>
        <w:rPr>
          <w:rFonts w:ascii="Arial" w:eastAsia="MiloOffc" w:hAnsi="Arial" w:cs="Arial"/>
          <w:lang w:val="en-GB"/>
        </w:rPr>
        <w:t>PROJECTS</w:t>
      </w:r>
      <w:r>
        <w:rPr>
          <w:rFonts w:ascii="Arial" w:eastAsia="MiloOffc" w:hAnsi="Arial" w:cs="Arial"/>
          <w:sz w:val="22"/>
          <w:szCs w:val="22"/>
          <w:lang w:val="en-GB"/>
        </w:rPr>
        <w:t xml:space="preserve"> </w:t>
      </w:r>
      <w:r>
        <w:rPr>
          <w:rFonts w:ascii="Arial" w:eastAsia="MiloOffc" w:hAnsi="Arial" w:cs="Arial"/>
          <w:lang w:val="en-GB"/>
        </w:rPr>
        <w:t>–</w:t>
      </w:r>
    </w:p>
    <w:p w14:paraId="28605D96" w14:textId="77777777" w:rsidR="00754CE8" w:rsidRDefault="00754CE8">
      <w:pPr>
        <w:spacing w:after="113"/>
        <w:jc w:val="center"/>
        <w:rPr>
          <w:rFonts w:ascii="Arial" w:eastAsia="MiloOffc" w:hAnsi="Arial" w:cs="Arial"/>
          <w:sz w:val="8"/>
          <w:szCs w:val="8"/>
          <w:highlight w:val="yellow"/>
          <w:lang w:val="en-GB"/>
        </w:rPr>
      </w:pPr>
    </w:p>
    <w:p w14:paraId="13F309B4" w14:textId="77777777" w:rsidR="00754CE8" w:rsidRDefault="00394915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en-GB"/>
        </w:rPr>
      </w:pP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Complementary information to the guidelines for submitting </w:t>
      </w:r>
      <w:r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 to Adveniat</w:t>
      </w:r>
    </w:p>
    <w:p w14:paraId="6DC7F96F" w14:textId="77777777" w:rsidR="00754CE8" w:rsidRDefault="00394915">
      <w:pPr>
        <w:pStyle w:val="Listenabsatz"/>
        <w:numPr>
          <w:ilvl w:val="0"/>
          <w:numId w:val="1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Please also use the guidelines for submitting applications to Adveniat.</w:t>
      </w:r>
    </w:p>
    <w:p w14:paraId="2BB8F643" w14:textId="314D55E2" w:rsidR="00754CE8" w:rsidRPr="00111FDE" w:rsidRDefault="00394915">
      <w:pPr>
        <w:pStyle w:val="Listenabsatz"/>
        <w:numPr>
          <w:ilvl w:val="0"/>
          <w:numId w:val="1"/>
        </w:numPr>
        <w:shd w:val="clear" w:color="auto" w:fill="FFFFFF"/>
        <w:spacing w:after="113"/>
        <w:rPr>
          <w:lang w:val="en-GB"/>
        </w:rPr>
      </w:pPr>
      <w:r>
        <w:rPr>
          <w:rFonts w:cs="Arial"/>
          <w:sz w:val="22"/>
          <w:szCs w:val="22"/>
          <w:lang w:val="en-GB"/>
        </w:rPr>
        <w:t>Adveniat can only accept complete applications.</w:t>
      </w:r>
    </w:p>
    <w:p w14:paraId="71CC2135" w14:textId="7EE49C4F" w:rsidR="00754CE8" w:rsidRDefault="00394915">
      <w:pPr>
        <w:spacing w:after="113"/>
        <w:rPr>
          <w:rFonts w:ascii="Arial" w:eastAsia="MiloOffc" w:hAnsi="Arial" w:cs="Arial"/>
          <w:b/>
          <w:bCs/>
          <w:sz w:val="22"/>
          <w:szCs w:val="22"/>
          <w:lang w:val="en-GB"/>
        </w:rPr>
      </w:pPr>
      <w:r>
        <w:rPr>
          <w:rFonts w:ascii="Arial" w:eastAsia="MiloOffc" w:hAnsi="Arial" w:cs="Arial"/>
          <w:b/>
          <w:bCs/>
          <w:sz w:val="22"/>
          <w:szCs w:val="22"/>
          <w:lang w:val="en-GB"/>
        </w:rPr>
        <w:t>Complementary elements to your application for construction projects</w:t>
      </w:r>
    </w:p>
    <w:p w14:paraId="3F22E949" w14:textId="77777777" w:rsidR="00754CE8" w:rsidRDefault="00394915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What facilities are currently available and where are they located?</w:t>
      </w:r>
    </w:p>
    <w:p w14:paraId="395C7940" w14:textId="234D8168" w:rsidR="00754CE8" w:rsidRDefault="00394915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Explain why you think the planned project is necessary, who is going to use the building and for which purpose</w:t>
      </w:r>
      <w:r>
        <w:rPr>
          <w:rFonts w:eastAsia="MiloOffc" w:cs="Arial"/>
          <w:sz w:val="22"/>
          <w:szCs w:val="22"/>
          <w:lang w:val="en-GB"/>
        </w:rPr>
        <w:t xml:space="preserve">. </w:t>
      </w:r>
      <w:r>
        <w:rPr>
          <w:rFonts w:cs="Arial"/>
          <w:sz w:val="22"/>
          <w:szCs w:val="22"/>
          <w:lang w:val="en-GB"/>
        </w:rPr>
        <w:t>What benefits do you expect from the implementation of the project?</w:t>
      </w:r>
    </w:p>
    <w:p w14:paraId="2BA45D06" w14:textId="4C713F18" w:rsidR="00754CE8" w:rsidRPr="00111FDE" w:rsidRDefault="00394915">
      <w:pPr>
        <w:pStyle w:val="Listenabsatz"/>
        <w:numPr>
          <w:ilvl w:val="0"/>
          <w:numId w:val="2"/>
        </w:numPr>
        <w:spacing w:after="113"/>
        <w:rPr>
          <w:lang w:val="en-GB"/>
        </w:rPr>
      </w:pPr>
      <w:r>
        <w:rPr>
          <w:rFonts w:cs="Arial"/>
          <w:sz w:val="22"/>
          <w:szCs w:val="22"/>
          <w:lang w:val="en-GB"/>
        </w:rPr>
        <w:t>Who initiated the project, how has the project matured, who is directly involved in its management?</w:t>
      </w:r>
    </w:p>
    <w:p w14:paraId="5B9181AD" w14:textId="5730794D" w:rsidR="00754CE8" w:rsidRPr="00111FDE" w:rsidRDefault="00394915">
      <w:pPr>
        <w:pStyle w:val="Listenabsatz"/>
        <w:numPr>
          <w:ilvl w:val="0"/>
          <w:numId w:val="2"/>
        </w:numPr>
        <w:spacing w:after="113"/>
        <w:rPr>
          <w:lang w:val="en-GB"/>
        </w:rPr>
      </w:pPr>
      <w:r>
        <w:rPr>
          <w:rFonts w:cs="Arial"/>
          <w:sz w:val="22"/>
          <w:szCs w:val="22"/>
          <w:lang w:val="en-GB"/>
        </w:rPr>
        <w:t>Who is the legal owner of the land and the current or planned construction project?</w:t>
      </w:r>
      <w:r>
        <w:rPr>
          <w:rFonts w:eastAsia="MiloOffc"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Attach copies of the supporting documents. If the owner is a secular institution or organisation, to whom would the property be transferred if the organisation were to dissolve?</w:t>
      </w:r>
    </w:p>
    <w:p w14:paraId="7828A329" w14:textId="79AA6818" w:rsidR="00754CE8" w:rsidRDefault="00394915">
      <w:pPr>
        <w:pStyle w:val="Listenabsatz"/>
        <w:numPr>
          <w:ilvl w:val="0"/>
          <w:numId w:val="2"/>
        </w:numPr>
        <w:spacing w:after="113"/>
        <w:rPr>
          <w:rFonts w:eastAsia="MiloOffc" w:cs="Arial"/>
          <w:noProof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Copy of the licence needed </w:t>
      </w:r>
      <w:r>
        <w:rPr>
          <w:rFonts w:cs="Arial"/>
          <w:noProof/>
          <w:sz w:val="22"/>
          <w:szCs w:val="22"/>
          <w:lang w:val="en-GB"/>
        </w:rPr>
        <w:t>to build or remodel the building.</w:t>
      </w:r>
    </w:p>
    <w:p w14:paraId="4A084984" w14:textId="77777777" w:rsidR="00754CE8" w:rsidRDefault="00394915">
      <w:pPr>
        <w:pStyle w:val="Listenabsatz"/>
        <w:numPr>
          <w:ilvl w:val="0"/>
          <w:numId w:val="2"/>
        </w:numPr>
        <w:spacing w:after="113"/>
        <w:rPr>
          <w:rFonts w:eastAsia="MiloOffc" w:cs="Arial"/>
          <w:noProof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  <w:lang w:val="en-GB"/>
        </w:rPr>
        <w:t>Evidence of soil study and risks to be taken into account (seismic zone, floodable area, region of climatic turbulence, backfill land, etc.)</w:t>
      </w:r>
    </w:p>
    <w:p w14:paraId="3AF91CE7" w14:textId="77777777" w:rsidR="00754CE8" w:rsidRDefault="00394915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  <w:lang w:val="en-GB"/>
        </w:rPr>
        <w:t>Plan of reduced size or sketch of the architectural layout indicating the main dimensions, the size in m² and the distribution</w:t>
      </w:r>
      <w:r>
        <w:rPr>
          <w:rFonts w:cs="Arial"/>
          <w:sz w:val="22"/>
          <w:szCs w:val="22"/>
          <w:lang w:val="en-GB"/>
        </w:rPr>
        <w:t xml:space="preserve"> and function of the business premises/rooms on each floor</w:t>
      </w:r>
      <w:r>
        <w:rPr>
          <w:rFonts w:eastAsia="MiloOffc" w:cs="Arial"/>
          <w:sz w:val="22"/>
          <w:szCs w:val="22"/>
          <w:lang w:val="en-GB"/>
        </w:rPr>
        <w:t>.</w:t>
      </w:r>
    </w:p>
    <w:p w14:paraId="01D69C7E" w14:textId="77777777" w:rsidR="00754CE8" w:rsidRDefault="00394915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Indicate the damages in case of repairs. In case of extensions indicate the existing and the new parts. Attach photos showing the building and/or its condition.</w:t>
      </w:r>
    </w:p>
    <w:p w14:paraId="213E47B2" w14:textId="77777777" w:rsidR="00754CE8" w:rsidRDefault="00394915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Who is the technical director of the works?</w:t>
      </w:r>
    </w:p>
    <w:p w14:paraId="6D513ACD" w14:textId="77777777" w:rsidR="00754CE8" w:rsidRDefault="00394915">
      <w:pPr>
        <w:pStyle w:val="Listenabsatz"/>
        <w:numPr>
          <w:ilvl w:val="0"/>
          <w:numId w:val="2"/>
        </w:numPr>
        <w:spacing w:after="113"/>
        <w:rPr>
          <w:rFonts w:eastAsia="MiloOffc" w:cs="Arial"/>
          <w:noProof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Is there a committee organising the </w:t>
      </w:r>
      <w:r>
        <w:rPr>
          <w:rFonts w:cs="Arial"/>
          <w:noProof/>
          <w:sz w:val="22"/>
          <w:szCs w:val="22"/>
          <w:lang w:val="en-GB"/>
        </w:rPr>
        <w:t>construction in charge of assisting in the execution of the project? What are the functions of the committee and who are its members?</w:t>
      </w:r>
    </w:p>
    <w:p w14:paraId="6049B1B9" w14:textId="77777777" w:rsidR="00754CE8" w:rsidRDefault="00394915">
      <w:pPr>
        <w:pStyle w:val="Listenabsatz"/>
        <w:numPr>
          <w:ilvl w:val="0"/>
          <w:numId w:val="2"/>
        </w:numPr>
        <w:spacing w:after="113"/>
        <w:rPr>
          <w:rFonts w:eastAsia="MiloOffc" w:cs="Arial"/>
          <w:noProof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  <w:lang w:val="en-GB"/>
        </w:rPr>
        <w:t>If construction is possible in usable and functional steps we need a description and budget for the different stages and order of priority.</w:t>
      </w:r>
    </w:p>
    <w:p w14:paraId="0633EBBD" w14:textId="45C2EEE3" w:rsidR="00321125" w:rsidRDefault="00394915">
      <w:pPr>
        <w:pStyle w:val="Listenabsatz"/>
        <w:numPr>
          <w:ilvl w:val="0"/>
          <w:numId w:val="2"/>
        </w:numPr>
        <w:spacing w:after="113"/>
        <w:rPr>
          <w:rFonts w:cs="Arial"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  <w:lang w:val="en-GB"/>
        </w:rPr>
        <w:t>Describe how the building will be maintained after completion</w:t>
      </w:r>
      <w:r>
        <w:rPr>
          <w:rFonts w:cs="Arial"/>
          <w:sz w:val="22"/>
          <w:szCs w:val="22"/>
          <w:lang w:val="en-GB"/>
        </w:rPr>
        <w:t xml:space="preserve"> of the project and the activities that will be carried in the long term.</w:t>
      </w:r>
    </w:p>
    <w:p w14:paraId="6253459E" w14:textId="77777777" w:rsidR="00321125" w:rsidRDefault="00321125">
      <w:pPr>
        <w:widowControl/>
        <w:suppressAutoHyphens w:val="0"/>
        <w:rPr>
          <w:rFonts w:ascii="Arial" w:hAnsi="Arial"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br w:type="page"/>
      </w:r>
    </w:p>
    <w:p w14:paraId="10E769DC" w14:textId="3333AB84" w:rsidR="00754CE8" w:rsidRPr="00111FDE" w:rsidRDefault="00394915">
      <w:pPr>
        <w:shd w:val="clear" w:color="auto" w:fill="FFFFFF"/>
        <w:spacing w:after="113"/>
        <w:ind w:left="360"/>
        <w:rPr>
          <w:lang w:val="en-GB"/>
        </w:rPr>
      </w:pPr>
      <w:r>
        <w:rPr>
          <w:rFonts w:ascii="Arial" w:eastAsia="MiloOffc" w:hAnsi="Arial" w:cs="Arial"/>
          <w:b/>
          <w:bCs/>
          <w:sz w:val="22"/>
          <w:szCs w:val="22"/>
          <w:lang w:val="en-GB"/>
        </w:rPr>
        <w:t>If the construction is handed over to a company, we accept the cost estimate of the construction company. In this case it is not necessary to fill in the attached excel sheet.</w:t>
      </w:r>
    </w:p>
    <w:p w14:paraId="18D4D93E" w14:textId="3E1D42A3" w:rsidR="00754CE8" w:rsidRPr="00111FDE" w:rsidRDefault="00394915">
      <w:pPr>
        <w:shd w:val="clear" w:color="auto" w:fill="FFFFFF"/>
        <w:spacing w:after="113"/>
        <w:ind w:left="360"/>
        <w:rPr>
          <w:lang w:val="en-GB"/>
        </w:rPr>
      </w:pPr>
      <w:r>
        <w:rPr>
          <w:rFonts w:ascii="Arial" w:eastAsia="MiloOffc" w:hAnsi="Arial" w:cs="Arial"/>
          <w:b/>
          <w:bCs/>
          <w:sz w:val="22"/>
          <w:szCs w:val="22"/>
          <w:lang w:val="en-GB"/>
        </w:rPr>
        <w:t>Otherwise: Please fill in the attached excel sheet considering the following specific data for constructions:</w:t>
      </w:r>
    </w:p>
    <w:tbl>
      <w:tblPr>
        <w:tblStyle w:val="Tabellenraster"/>
        <w:tblW w:w="9268" w:type="dxa"/>
        <w:tblInd w:w="36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72"/>
        <w:gridCol w:w="1699"/>
        <w:gridCol w:w="1697"/>
      </w:tblGrid>
      <w:tr w:rsidR="00754CE8" w14:paraId="41564A0F" w14:textId="77777777">
        <w:tc>
          <w:tcPr>
            <w:tcW w:w="9268" w:type="dxa"/>
            <w:gridSpan w:val="3"/>
            <w:shd w:val="clear" w:color="auto" w:fill="auto"/>
            <w:tcMar>
              <w:left w:w="98" w:type="dxa"/>
            </w:tcMar>
          </w:tcPr>
          <w:p w14:paraId="389EDB78" w14:textId="7B7982CD" w:rsidR="00754CE8" w:rsidRDefault="00394915">
            <w:pPr>
              <w:pStyle w:val="Listenabsatz"/>
              <w:numPr>
                <w:ilvl w:val="0"/>
                <w:numId w:val="3"/>
              </w:numPr>
              <w:spacing w:after="113"/>
              <w:rPr>
                <w:rFonts w:eastAsia="MiloOffc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eastAsia="MiloOffc" w:cs="Arial"/>
                <w:b/>
                <w:bCs/>
                <w:sz w:val="22"/>
                <w:szCs w:val="22"/>
                <w:lang w:val="en-GB"/>
              </w:rPr>
              <w:t>Expenditure</w:t>
            </w:r>
            <w:bookmarkStart w:id="0" w:name="_Hlk116478258"/>
            <w:bookmarkEnd w:id="0"/>
          </w:p>
        </w:tc>
      </w:tr>
      <w:tr w:rsidR="00754CE8" w14:paraId="4A7CD46F" w14:textId="77777777">
        <w:tc>
          <w:tcPr>
            <w:tcW w:w="5872" w:type="dxa"/>
            <w:shd w:val="clear" w:color="auto" w:fill="auto"/>
            <w:tcMar>
              <w:left w:w="98" w:type="dxa"/>
            </w:tcMar>
          </w:tcPr>
          <w:p w14:paraId="2663F585" w14:textId="77777777" w:rsidR="00754CE8" w:rsidRDefault="0039491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en-GB"/>
              </w:rPr>
              <w:t>Expenses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63CEC183" w14:textId="77777777" w:rsidR="00754CE8" w:rsidRDefault="0039491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en-GB"/>
              </w:rPr>
              <w:t>Budgeted amount</w:t>
            </w: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0DE2A266" w14:textId="77777777" w:rsidR="00754CE8" w:rsidRDefault="0039491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en-GB"/>
              </w:rPr>
              <w:t>Comments</w:t>
            </w:r>
          </w:p>
        </w:tc>
      </w:tr>
      <w:tr w:rsidR="00754CE8" w14:paraId="45F89D66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31EE74B3" w14:textId="7F9BF8AA" w:rsidR="00754CE8" w:rsidRDefault="00394915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Foundations and walls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23FFD0B8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27F6E695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754CE8" w14:paraId="7EB22D7C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6DBB1F87" w14:textId="77777777" w:rsidR="00754CE8" w:rsidRDefault="00394915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Roof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3EB57734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52AAD4CA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754CE8" w14:paraId="11E8AAAE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1487E1AA" w14:textId="77777777" w:rsidR="00754CE8" w:rsidRDefault="00394915">
            <w:pPr>
              <w:spacing w:after="11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Doors and windows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3BE8F4B9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73013F5C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54CE8" w14:paraId="17B40DEF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25E88B3C" w14:textId="77777777" w:rsidR="00754CE8" w:rsidRDefault="00394915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Floors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65325536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56FBDF58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754CE8" w14:paraId="3846AB4E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718750EE" w14:textId="77777777" w:rsidR="00754CE8" w:rsidRDefault="00394915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Electrical installations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6F38A2C2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6AC8E6AF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754CE8" w14:paraId="3D6B1926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0A26A030" w14:textId="77777777" w:rsidR="00754CE8" w:rsidRDefault="00394915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Sanitary installations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06DC048B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41A6F754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754CE8" w14:paraId="3977E253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50B09328" w14:textId="77777777" w:rsidR="00754CE8" w:rsidRDefault="00394915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Coverings and paints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210A42E5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21B50B1B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754CE8" w14:paraId="727AAFDB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473269FC" w14:textId="6A097959" w:rsidR="00754CE8" w:rsidRDefault="00394915">
            <w:pPr>
              <w:spacing w:after="113"/>
            </w:pPr>
            <w:r w:rsidRPr="003F57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 amount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7418CE99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76BAAC8E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</w:tbl>
    <w:p w14:paraId="67B95087" w14:textId="77777777" w:rsidR="00754CE8" w:rsidRDefault="00754CE8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highlight w:val="yellow"/>
          <w:lang w:val="en-GB"/>
        </w:rPr>
      </w:pPr>
    </w:p>
    <w:tbl>
      <w:tblPr>
        <w:tblStyle w:val="Tabellenraster"/>
        <w:tblW w:w="9268" w:type="dxa"/>
        <w:tblInd w:w="36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72"/>
        <w:gridCol w:w="1699"/>
        <w:gridCol w:w="1697"/>
      </w:tblGrid>
      <w:tr w:rsidR="00754CE8" w14:paraId="2DC33179" w14:textId="77777777">
        <w:tc>
          <w:tcPr>
            <w:tcW w:w="5872" w:type="dxa"/>
            <w:shd w:val="clear" w:color="auto" w:fill="auto"/>
            <w:tcMar>
              <w:left w:w="98" w:type="dxa"/>
            </w:tcMar>
          </w:tcPr>
          <w:p w14:paraId="4B534181" w14:textId="77777777" w:rsidR="00754CE8" w:rsidRDefault="0039491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en-GB"/>
              </w:rPr>
              <w:t>Expenses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5404D25F" w14:textId="77777777" w:rsidR="00754CE8" w:rsidRDefault="0039491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en-GB"/>
              </w:rPr>
              <w:t>Budgeted amount</w:t>
            </w: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58075E8D" w14:textId="77777777" w:rsidR="00754CE8" w:rsidRDefault="00394915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en-GB"/>
              </w:rPr>
              <w:t>Comments</w:t>
            </w:r>
          </w:p>
        </w:tc>
      </w:tr>
      <w:tr w:rsidR="00754CE8" w14:paraId="5487FA92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344DB82A" w14:textId="77777777" w:rsidR="00754CE8" w:rsidRDefault="00394915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Materials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249EE87E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7F49FD51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754CE8" w14:paraId="264F055C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7FA48D79" w14:textId="0F86C6E8" w:rsidR="00754CE8" w:rsidRDefault="00394915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Labour 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66D46460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7D1B95CE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754CE8" w14:paraId="034BB878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408D6846" w14:textId="40897AF6" w:rsidR="00754CE8" w:rsidRDefault="00394915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Planning and management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0BE614B5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14B51DFA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754CE8" w14:paraId="42916C7E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0AF0935C" w14:textId="77777777" w:rsidR="00754CE8" w:rsidRDefault="00394915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Taxes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4A51FA01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45F0D112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754CE8" w14:paraId="017DBA6D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5FFBE627" w14:textId="10DBA63D" w:rsidR="00754CE8" w:rsidRDefault="00394915">
            <w:pPr>
              <w:spacing w:after="113"/>
            </w:pPr>
            <w:r w:rsidRPr="003F57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 amount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5DB951D7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29857F9F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754CE8" w14:paraId="081A9828" w14:textId="77777777">
        <w:tc>
          <w:tcPr>
            <w:tcW w:w="9268" w:type="dxa"/>
            <w:gridSpan w:val="3"/>
            <w:shd w:val="clear" w:color="auto" w:fill="auto"/>
            <w:tcMar>
              <w:left w:w="98" w:type="dxa"/>
            </w:tcMar>
            <w:vAlign w:val="bottom"/>
          </w:tcPr>
          <w:p w14:paraId="4F659BE6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  <w:tr w:rsidR="00754CE8" w14:paraId="4B394897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7F4BEE0D" w14:textId="77777777" w:rsidR="00754CE8" w:rsidRDefault="00394915">
            <w:pPr>
              <w:spacing w:after="113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Price per m²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1EF8596B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388B188A" w14:textId="77777777" w:rsidR="00754CE8" w:rsidRDefault="00754CE8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</w:tbl>
    <w:p w14:paraId="6FA29641" w14:textId="77777777" w:rsidR="00754CE8" w:rsidRDefault="00754CE8">
      <w:pPr>
        <w:shd w:val="clear" w:color="auto" w:fill="FFFFFF"/>
        <w:spacing w:after="113"/>
        <w:ind w:left="360"/>
        <w:rPr>
          <w:rFonts w:ascii="Arial" w:eastAsia="MiloOffc" w:hAnsi="Arial" w:cs="Arial"/>
          <w:sz w:val="22"/>
          <w:szCs w:val="22"/>
          <w:highlight w:val="yellow"/>
          <w:lang w:val="en-GB"/>
        </w:rPr>
      </w:pPr>
    </w:p>
    <w:p w14:paraId="4B6B2DCE" w14:textId="77777777" w:rsidR="00754CE8" w:rsidRDefault="00754CE8">
      <w:pPr>
        <w:shd w:val="clear" w:color="auto" w:fill="FFFFFF"/>
        <w:spacing w:after="113"/>
        <w:ind w:left="360"/>
        <w:rPr>
          <w:rFonts w:ascii="Arial" w:eastAsia="MiloOffc" w:hAnsi="Arial" w:cs="Arial"/>
          <w:sz w:val="22"/>
          <w:szCs w:val="22"/>
          <w:highlight w:val="yellow"/>
          <w:lang w:val="en-GB"/>
        </w:rPr>
      </w:pPr>
    </w:p>
    <w:p w14:paraId="60AF776A" w14:textId="588C661C" w:rsidR="00754CE8" w:rsidRPr="00111FDE" w:rsidRDefault="00394915" w:rsidP="00E20E73">
      <w:pPr>
        <w:spacing w:after="113"/>
        <w:jc w:val="right"/>
        <w:rPr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Version of this form: November 2022</w:t>
      </w:r>
    </w:p>
    <w:sectPr w:rsidR="00754CE8" w:rsidRPr="00111FDE">
      <w:footerReference w:type="default" r:id="rId8"/>
      <w:pgSz w:w="11906" w:h="16838"/>
      <w:pgMar w:top="1134" w:right="1134" w:bottom="1387" w:left="1134" w:header="0" w:footer="55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7D26" w14:textId="77777777" w:rsidR="003325DF" w:rsidRDefault="00394915">
      <w:r>
        <w:separator/>
      </w:r>
    </w:p>
  </w:endnote>
  <w:endnote w:type="continuationSeparator" w:id="0">
    <w:p w14:paraId="10882C83" w14:textId="77777777" w:rsidR="003325DF" w:rsidRDefault="0039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ffc;Bold">
    <w:panose1 w:val="00000000000000000000"/>
    <w:charset w:val="00"/>
    <w:family w:val="roman"/>
    <w:notTrueType/>
    <w:pitch w:val="default"/>
  </w:font>
  <w:font w:name="Milo Offc"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loOffc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6FB1" w14:textId="77777777" w:rsidR="00754CE8" w:rsidRDefault="00394915">
    <w:pPr>
      <w:tabs>
        <w:tab w:val="left" w:pos="8789"/>
      </w:tabs>
      <w:overflowPunct w:val="0"/>
      <w:ind w:right="-1"/>
    </w:pPr>
    <w:r>
      <w:rPr>
        <w:rFonts w:ascii="Arial" w:eastAsia="MiloOffc-Bold" w:hAnsi="Arial" w:cs="MiloOffc-Bold"/>
        <w:b/>
        <w:bCs/>
        <w:sz w:val="16"/>
        <w:szCs w:val="16"/>
      </w:rPr>
      <w:t>Bischöfliche Aktion Adveniat e.V.</w:t>
    </w:r>
    <w:r>
      <w:rPr>
        <w:rFonts w:ascii="Arial" w:eastAsia="MiloOffc" w:hAnsi="Arial" w:cs="MiloOffc"/>
        <w:sz w:val="16"/>
        <w:szCs w:val="16"/>
      </w:rPr>
      <w:t xml:space="preserve">∙ </w:t>
    </w:r>
    <w:r>
      <w:rPr>
        <w:rFonts w:ascii="Arial" w:eastAsia="MiloOffc" w:hAnsi="Arial" w:cs="MiloOffc"/>
        <w:sz w:val="16"/>
        <w:szCs w:val="16"/>
        <w:lang w:val="en-GB"/>
      </w:rPr>
      <w:t xml:space="preserve">serving the peoples in Latin America and the Caribbean - Gildehofstrasse 2 ∙ 45127 Essen ∙ Germany - Tel +49 201 1756-0 - </w:t>
    </w:r>
    <w:hyperlink r:id="rId1">
      <w:r>
        <w:rPr>
          <w:rStyle w:val="Internetverknpfung"/>
          <w:rFonts w:ascii="Arial" w:eastAsia="MiloOffc" w:hAnsi="Arial" w:cs="MiloOffc"/>
          <w:color w:val="2E74B5" w:themeColor="accent1" w:themeShade="BF"/>
          <w:sz w:val="16"/>
          <w:szCs w:val="16"/>
          <w:lang w:val="en-GB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en-GB"/>
      </w:rPr>
      <w:t xml:space="preserve"> - Director General P</w:t>
    </w:r>
    <w:r>
      <w:rPr>
        <w:rFonts w:ascii="Arial" w:eastAsia="MiloOffc" w:hAnsi="Arial" w:cs="MiloOffc"/>
        <w:sz w:val="16"/>
        <w:szCs w:val="16"/>
      </w:rPr>
      <w:t>. Dr.</w:t>
    </w:r>
    <w:r>
      <w:rPr>
        <w:rFonts w:ascii="Arial" w:eastAsia="MiloOffc" w:hAnsi="Arial" w:cs="MiloOffc"/>
        <w:sz w:val="16"/>
        <w:szCs w:val="16"/>
        <w:lang w:val="en-GB"/>
      </w:rPr>
      <w:t xml:space="preserve"> Martin Maier SJ – Managing D</w:t>
    </w:r>
    <w:r>
      <w:rPr>
        <w:rFonts w:ascii="Arial" w:hAnsi="Arial" w:cs="Arial"/>
        <w:sz w:val="16"/>
        <w:szCs w:val="16"/>
        <w:lang w:val="en-GB"/>
      </w:rPr>
      <w:t>irector Tanja Himer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i/>
        <w:sz w:val="12"/>
        <w:szCs w:val="12"/>
      </w:rPr>
      <w:t>V11/22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21A7" w14:textId="77777777" w:rsidR="003325DF" w:rsidRDefault="00394915">
      <w:r>
        <w:separator/>
      </w:r>
    </w:p>
  </w:footnote>
  <w:footnote w:type="continuationSeparator" w:id="0">
    <w:p w14:paraId="35D102C2" w14:textId="77777777" w:rsidR="003325DF" w:rsidRDefault="0039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D78"/>
    <w:multiLevelType w:val="multilevel"/>
    <w:tmpl w:val="4EE046C4"/>
    <w:lvl w:ilvl="0">
      <w:start w:val="6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37CBA"/>
    <w:multiLevelType w:val="multilevel"/>
    <w:tmpl w:val="76B8CE56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BD4878"/>
    <w:multiLevelType w:val="multilevel"/>
    <w:tmpl w:val="D138DF06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970828"/>
    <w:multiLevelType w:val="multilevel"/>
    <w:tmpl w:val="1C1CE5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44718219">
    <w:abstractNumId w:val="0"/>
  </w:num>
  <w:num w:numId="2" w16cid:durableId="1805541786">
    <w:abstractNumId w:val="2"/>
  </w:num>
  <w:num w:numId="3" w16cid:durableId="667943091">
    <w:abstractNumId w:val="1"/>
  </w:num>
  <w:num w:numId="4" w16cid:durableId="881208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E8"/>
    <w:rsid w:val="00073715"/>
    <w:rsid w:val="00111FDE"/>
    <w:rsid w:val="00321125"/>
    <w:rsid w:val="003325DF"/>
    <w:rsid w:val="00394915"/>
    <w:rsid w:val="003F5741"/>
    <w:rsid w:val="004623F5"/>
    <w:rsid w:val="005B3D82"/>
    <w:rsid w:val="00754CE8"/>
    <w:rsid w:val="00800C76"/>
    <w:rsid w:val="0081747E"/>
    <w:rsid w:val="00E2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6018"/>
  <w15:docId w15:val="{7A8429D8-D47A-470E-8314-BAEAEB62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basedOn w:val="Absatz-Standardschriftart"/>
    <w:uiPriority w:val="99"/>
    <w:unhideWhenUsed/>
    <w:rsid w:val="006D20C4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CB640E"/>
    <w:rPr>
      <w:rFonts w:ascii="Times New Roman" w:hAnsi="Times New Roman" w:cs="Mangal"/>
      <w:color w:val="00000A"/>
      <w:kern w:val="2"/>
      <w:sz w:val="24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D7B17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CD7B17"/>
    <w:rPr>
      <w:rFonts w:ascii="Times New Roman" w:hAnsi="Times New Roman" w:cs="Mangal"/>
      <w:color w:val="00000A"/>
      <w:kern w:val="2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CD7B17"/>
    <w:rPr>
      <w:rFonts w:ascii="Times New Roman" w:hAnsi="Times New Roman" w:cs="Mangal"/>
      <w:b/>
      <w:bCs/>
      <w:color w:val="00000A"/>
      <w:kern w:val="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D7B17"/>
    <w:rPr>
      <w:rFonts w:ascii="Segoe UI" w:hAnsi="Segoe UI" w:cs="Mangal"/>
      <w:color w:val="00000A"/>
      <w:kern w:val="2"/>
      <w:sz w:val="18"/>
      <w:szCs w:val="16"/>
    </w:rPr>
  </w:style>
  <w:style w:type="character" w:customStyle="1" w:styleId="ListLabel1">
    <w:name w:val="ListLabel 1"/>
    <w:qFormat/>
    <w:rPr>
      <w:rFonts w:eastAsia="MiloOffc;Bold"/>
      <w:b w:val="0"/>
      <w:bCs w:val="0"/>
      <w:i w:val="0"/>
      <w:iCs w:val="0"/>
      <w:sz w:val="22"/>
    </w:rPr>
  </w:style>
  <w:style w:type="character" w:customStyle="1" w:styleId="ListLabel2">
    <w:name w:val="ListLabel 2"/>
    <w:qFormat/>
    <w:rPr>
      <w:rFonts w:cs="Milo Offc"/>
    </w:rPr>
  </w:style>
  <w:style w:type="character" w:customStyle="1" w:styleId="ListLabel3">
    <w:name w:val="ListLabel 3"/>
    <w:qFormat/>
    <w:rPr>
      <w:rFonts w:cs="Milo Offc"/>
    </w:rPr>
  </w:style>
  <w:style w:type="character" w:customStyle="1" w:styleId="ListLabel4">
    <w:name w:val="ListLabel 4"/>
    <w:qFormat/>
    <w:rPr>
      <w:rFonts w:cs="Milo Offc"/>
    </w:rPr>
  </w:style>
  <w:style w:type="character" w:customStyle="1" w:styleId="ListLabel5">
    <w:name w:val="ListLabel 5"/>
    <w:qFormat/>
    <w:rPr>
      <w:rFonts w:cs="Milo Offc"/>
    </w:rPr>
  </w:style>
  <w:style w:type="character" w:customStyle="1" w:styleId="ListLabel6">
    <w:name w:val="ListLabel 6"/>
    <w:qFormat/>
    <w:rPr>
      <w:rFonts w:cs="Milo Offc"/>
    </w:rPr>
  </w:style>
  <w:style w:type="character" w:customStyle="1" w:styleId="ListLabel7">
    <w:name w:val="ListLabel 7"/>
    <w:qFormat/>
    <w:rPr>
      <w:rFonts w:cs="Milo Offc"/>
    </w:rPr>
  </w:style>
  <w:style w:type="character" w:customStyle="1" w:styleId="ListLabel8">
    <w:name w:val="ListLabel 8"/>
    <w:qFormat/>
    <w:rPr>
      <w:rFonts w:cs="Milo Offc"/>
    </w:rPr>
  </w:style>
  <w:style w:type="character" w:customStyle="1" w:styleId="ListLabel9">
    <w:name w:val="ListLabel 9"/>
    <w:qFormat/>
    <w:rPr>
      <w:rFonts w:cs="Milo Offc"/>
    </w:rPr>
  </w:style>
  <w:style w:type="character" w:customStyle="1" w:styleId="ListLabel10">
    <w:name w:val="ListLabel 10"/>
    <w:qFormat/>
    <w:rPr>
      <w:rFonts w:eastAsia="SimSun" w:cs="Aria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MiloOffc;Bold"/>
      <w:b w:val="0"/>
      <w:bCs w:val="0"/>
      <w:i w:val="0"/>
      <w:iCs w:val="0"/>
      <w:sz w:val="22"/>
    </w:rPr>
  </w:style>
  <w:style w:type="character" w:customStyle="1" w:styleId="ListLabel15">
    <w:name w:val="ListLabel 15"/>
    <w:qFormat/>
    <w:rPr>
      <w:rFonts w:cs="Milo Offc"/>
    </w:rPr>
  </w:style>
  <w:style w:type="character" w:customStyle="1" w:styleId="ListLabel16">
    <w:name w:val="ListLabel 16"/>
    <w:qFormat/>
    <w:rPr>
      <w:rFonts w:cs="Milo Offc"/>
    </w:rPr>
  </w:style>
  <w:style w:type="character" w:customStyle="1" w:styleId="ListLabel17">
    <w:name w:val="ListLabel 17"/>
    <w:qFormat/>
    <w:rPr>
      <w:rFonts w:cs="Milo Offc"/>
    </w:rPr>
  </w:style>
  <w:style w:type="character" w:customStyle="1" w:styleId="ListLabel18">
    <w:name w:val="ListLabel 18"/>
    <w:qFormat/>
    <w:rPr>
      <w:rFonts w:cs="Milo Offc"/>
    </w:rPr>
  </w:style>
  <w:style w:type="character" w:customStyle="1" w:styleId="ListLabel19">
    <w:name w:val="ListLabel 19"/>
    <w:qFormat/>
    <w:rPr>
      <w:rFonts w:cs="Milo Offc"/>
    </w:rPr>
  </w:style>
  <w:style w:type="character" w:customStyle="1" w:styleId="ListLabel20">
    <w:name w:val="ListLabel 20"/>
    <w:qFormat/>
    <w:rPr>
      <w:rFonts w:cs="Milo Offc"/>
    </w:rPr>
  </w:style>
  <w:style w:type="character" w:customStyle="1" w:styleId="ListLabel21">
    <w:name w:val="ListLabel 21"/>
    <w:qFormat/>
    <w:rPr>
      <w:rFonts w:cs="Milo Offc"/>
    </w:rPr>
  </w:style>
  <w:style w:type="character" w:customStyle="1" w:styleId="ListLabel22">
    <w:name w:val="ListLabel 22"/>
    <w:qFormat/>
    <w:rPr>
      <w:rFonts w:cs="Milo Offc"/>
    </w:rPr>
  </w:style>
  <w:style w:type="character" w:customStyle="1" w:styleId="ListLabel23">
    <w:name w:val="ListLabel 23"/>
    <w:qFormat/>
    <w:rPr>
      <w:rFonts w:cs="Aria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Arial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 Inhalt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CB640E"/>
    <w:pPr>
      <w:tabs>
        <w:tab w:val="center" w:pos="4536"/>
        <w:tab w:val="right" w:pos="9072"/>
      </w:tabs>
    </w:pPr>
    <w:rPr>
      <w:szCs w:val="21"/>
    </w:rPr>
  </w:style>
  <w:style w:type="paragraph" w:styleId="Listenabsatz">
    <w:name w:val="List Paragraph"/>
    <w:basedOn w:val="Standard"/>
    <w:qFormat/>
    <w:rsid w:val="00E85D4A"/>
    <w:pPr>
      <w:overflowPunct w:val="0"/>
      <w:ind w:left="720"/>
      <w:textAlignment w:val="baseline"/>
    </w:pPr>
    <w:rPr>
      <w:rFonts w:ascii="Arial" w:hAnsi="Arial"/>
      <w:szCs w:val="21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CD7B17"/>
    <w:rPr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CD7B1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D7B17"/>
    <w:rPr>
      <w:rFonts w:ascii="Segoe UI" w:hAnsi="Segoe UI"/>
      <w:sz w:val="18"/>
      <w:szCs w:val="16"/>
    </w:rPr>
  </w:style>
  <w:style w:type="paragraph" w:styleId="berarbeitung">
    <w:name w:val="Revision"/>
    <w:uiPriority w:val="99"/>
    <w:semiHidden/>
    <w:qFormat/>
    <w:rsid w:val="00FA4035"/>
    <w:rPr>
      <w:rFonts w:ascii="Times New Roman" w:hAnsi="Times New Roman" w:cs="Mangal"/>
      <w:color w:val="00000A"/>
      <w:kern w:val="2"/>
      <w:sz w:val="24"/>
      <w:szCs w:val="21"/>
    </w:rPr>
  </w:style>
  <w:style w:type="table" w:styleId="Tabellenraster">
    <w:name w:val="Table Grid"/>
    <w:basedOn w:val="NormaleTabelle"/>
    <w:uiPriority w:val="39"/>
    <w:rsid w:val="001D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2305</Characters>
  <Application>Microsoft Office Word</Application>
  <DocSecurity>0</DocSecurity>
  <Lines>19</Lines>
  <Paragraphs>5</Paragraphs>
  <ScaleCrop>false</ScaleCrop>
  <Company>Bischöfliche Aktion Adveniat e.V.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9</cp:revision>
  <dcterms:created xsi:type="dcterms:W3CDTF">2022-11-28T15:29:00Z</dcterms:created>
  <dcterms:modified xsi:type="dcterms:W3CDTF">2022-11-28T15:39:00Z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Bischöfliche Aktion Adveniat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